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F3E7" w14:textId="77777777" w:rsidR="002C5502" w:rsidRPr="002C5502" w:rsidRDefault="002C5502" w:rsidP="002C5502">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2C5502">
        <w:rPr>
          <w:rFonts w:ascii="Times New Roman" w:eastAsia="Times New Roman" w:hAnsi="Times New Roman" w:cs="Times New Roman"/>
          <w:b/>
          <w:bCs/>
          <w:kern w:val="0"/>
          <w:sz w:val="36"/>
          <w:szCs w:val="36"/>
          <w:lang w:eastAsia="en-GB"/>
          <w14:ligatures w14:val="none"/>
        </w:rPr>
        <w:t>The “Sorry Tax” in Project Delivery</w:t>
      </w:r>
    </w:p>
    <w:p w14:paraId="40A6B551"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Why women — especially carers and SEND parents — are still being held back, and what project-based organisations can do differently</w:t>
      </w:r>
    </w:p>
    <w:p w14:paraId="5686BA71"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When Sheryl Sandberg published </w:t>
      </w:r>
      <w:r w:rsidRPr="002C5502">
        <w:rPr>
          <w:rFonts w:ascii="Times New Roman" w:eastAsia="Times New Roman" w:hAnsi="Times New Roman" w:cs="Times New Roman"/>
          <w:i/>
          <w:iCs/>
          <w:kern w:val="0"/>
          <w:sz w:val="24"/>
          <w:szCs w:val="24"/>
          <w:lang w:eastAsia="en-GB"/>
          <w14:ligatures w14:val="none"/>
        </w:rPr>
        <w:t>Lean In</w:t>
      </w:r>
      <w:r w:rsidRPr="002C5502">
        <w:rPr>
          <w:rFonts w:ascii="Times New Roman" w:eastAsia="Times New Roman" w:hAnsi="Times New Roman" w:cs="Times New Roman"/>
          <w:kern w:val="0"/>
          <w:sz w:val="24"/>
          <w:szCs w:val="24"/>
          <w:lang w:eastAsia="en-GB"/>
          <w14:ligatures w14:val="none"/>
        </w:rPr>
        <w:t xml:space="preserve"> (2013), one observation resonated with women across industries, including project and programme delivery: women apologise more often than men at work — not for genuine errors, but for speaking, questioning, interrupting, or simply taking up space.</w:t>
      </w:r>
    </w:p>
    <w:p w14:paraId="09AB6EF9"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Research supports the pattern. Women apologise more frequently because they perceive a wider range of behaviours as potentially inappropriate or risky, not because they make more mistakes, but because the social and professional penalties for being “too direct” are more unevenly applied (Schumann &amp; Ross, 2010). Sandberg also captured the “double bind”: when women behave assertively, they can be judged as abrasive or unlikeable; when they soften, they can be seen as less authoritative.</w:t>
      </w:r>
    </w:p>
    <w:p w14:paraId="10CD0BD8"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For project professionals, this matters because delivery environments are built on </w:t>
      </w:r>
      <w:r w:rsidRPr="002C5502">
        <w:rPr>
          <w:rFonts w:ascii="Times New Roman" w:eastAsia="Times New Roman" w:hAnsi="Times New Roman" w:cs="Times New Roman"/>
          <w:i/>
          <w:iCs/>
          <w:kern w:val="0"/>
          <w:sz w:val="24"/>
          <w:szCs w:val="24"/>
          <w:lang w:eastAsia="en-GB"/>
          <w14:ligatures w14:val="none"/>
        </w:rPr>
        <w:t>voice</w:t>
      </w:r>
      <w:r w:rsidRPr="002C5502">
        <w:rPr>
          <w:rFonts w:ascii="Times New Roman" w:eastAsia="Times New Roman" w:hAnsi="Times New Roman" w:cs="Times New Roman"/>
          <w:kern w:val="0"/>
          <w:sz w:val="24"/>
          <w:szCs w:val="24"/>
          <w:lang w:eastAsia="en-GB"/>
          <w14:ligatures w14:val="none"/>
        </w:rPr>
        <w:t>: challenging assumptions, escalating risk, holding boundaries, negotiating trade-offs, and influencing stakeholders without formal authority. If women learn—through experience—that they must cushion their contributions to avoid backlash, the organisation doesn’t just lose talent; it loses candour, risk intelligence, and decision quality.</w:t>
      </w:r>
    </w:p>
    <w:p w14:paraId="254C1897"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The evidence: the gender pay gap persists (and widens with age)</w:t>
      </w:r>
    </w:p>
    <w:p w14:paraId="73581864"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Despite years of equality initiatives, the UK gender pay gap remains measurable. The Office for National Statistics (ONS) reports that the gender pay gap among full-time employees was </w:t>
      </w:r>
      <w:r w:rsidRPr="002C5502">
        <w:rPr>
          <w:rFonts w:ascii="Times New Roman" w:eastAsia="Times New Roman" w:hAnsi="Times New Roman" w:cs="Times New Roman"/>
          <w:b/>
          <w:bCs/>
          <w:kern w:val="0"/>
          <w:sz w:val="24"/>
          <w:szCs w:val="24"/>
          <w:lang w:eastAsia="en-GB"/>
          <w14:ligatures w14:val="none"/>
        </w:rPr>
        <w:t>6.9% in April 2025</w:t>
      </w:r>
      <w:r w:rsidRPr="002C5502">
        <w:rPr>
          <w:rFonts w:ascii="Times New Roman" w:eastAsia="Times New Roman" w:hAnsi="Times New Roman" w:cs="Times New Roman"/>
          <w:kern w:val="0"/>
          <w:sz w:val="24"/>
          <w:szCs w:val="24"/>
          <w:lang w:eastAsia="en-GB"/>
          <w14:ligatures w14:val="none"/>
        </w:rPr>
        <w:t>.</w:t>
      </w:r>
      <w:r w:rsidRPr="002C5502">
        <w:rPr>
          <w:rFonts w:ascii="Times New Roman" w:eastAsia="Times New Roman" w:hAnsi="Times New Roman" w:cs="Times New Roman"/>
          <w:kern w:val="0"/>
          <w:sz w:val="24"/>
          <w:szCs w:val="24"/>
          <w:lang w:eastAsia="en-GB"/>
          <w14:ligatures w14:val="none"/>
        </w:rPr>
        <w:br/>
        <w:t xml:space="preserve">ONS – </w:t>
      </w:r>
      <w:r w:rsidRPr="002C5502">
        <w:rPr>
          <w:rFonts w:ascii="Times New Roman" w:eastAsia="Times New Roman" w:hAnsi="Times New Roman" w:cs="Times New Roman"/>
          <w:i/>
          <w:iCs/>
          <w:kern w:val="0"/>
          <w:sz w:val="24"/>
          <w:szCs w:val="24"/>
          <w:lang w:eastAsia="en-GB"/>
          <w14:ligatures w14:val="none"/>
        </w:rPr>
        <w:t>Gender pay gap in the UK: 2025</w:t>
      </w:r>
      <w:r w:rsidRPr="002C5502">
        <w:rPr>
          <w:rFonts w:ascii="Times New Roman" w:eastAsia="Times New Roman" w:hAnsi="Times New Roman" w:cs="Times New Roman"/>
          <w:kern w:val="0"/>
          <w:sz w:val="24"/>
          <w:szCs w:val="24"/>
          <w:lang w:eastAsia="en-GB"/>
          <w14:ligatures w14:val="none"/>
        </w:rPr>
        <w:t>:</w:t>
      </w:r>
      <w:r w:rsidRPr="002C5502">
        <w:rPr>
          <w:rFonts w:ascii="Times New Roman" w:eastAsia="Times New Roman" w:hAnsi="Times New Roman" w:cs="Times New Roman"/>
          <w:kern w:val="0"/>
          <w:sz w:val="24"/>
          <w:szCs w:val="24"/>
          <w:lang w:eastAsia="en-GB"/>
          <w14:ligatures w14:val="none"/>
        </w:rPr>
        <w:br/>
      </w:r>
      <w:hyperlink r:id="rId5" w:tgtFrame="_new" w:history="1">
        <w:r w:rsidRPr="002C5502">
          <w:rPr>
            <w:rFonts w:ascii="Times New Roman" w:eastAsia="Times New Roman" w:hAnsi="Times New Roman" w:cs="Times New Roman"/>
            <w:color w:val="0000FF"/>
            <w:kern w:val="0"/>
            <w:sz w:val="24"/>
            <w:szCs w:val="24"/>
            <w:u w:val="single"/>
            <w:lang w:eastAsia="en-GB"/>
            <w14:ligatures w14:val="none"/>
          </w:rPr>
          <w:t>https://www.ons.gov.uk/employmentandlabourmarket/peopleinwork/earningsandworkinghours/bulletins/genderpaygapintheuk/2025</w:t>
        </w:r>
      </w:hyperlink>
    </w:p>
    <w:p w14:paraId="15ACB5BB"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The House of Commons Library summarises that the gap is larger when all employees are included (reflecting women’s higher likelihood of part-time work), and highlights that pay gaps vary by age and other factors.</w:t>
      </w:r>
      <w:r w:rsidRPr="002C5502">
        <w:rPr>
          <w:rFonts w:ascii="Times New Roman" w:eastAsia="Times New Roman" w:hAnsi="Times New Roman" w:cs="Times New Roman"/>
          <w:kern w:val="0"/>
          <w:sz w:val="24"/>
          <w:szCs w:val="24"/>
          <w:lang w:eastAsia="en-GB"/>
          <w14:ligatures w14:val="none"/>
        </w:rPr>
        <w:br/>
        <w:t xml:space="preserve">House of Commons Library – </w:t>
      </w:r>
      <w:r w:rsidRPr="002C5502">
        <w:rPr>
          <w:rFonts w:ascii="Times New Roman" w:eastAsia="Times New Roman" w:hAnsi="Times New Roman" w:cs="Times New Roman"/>
          <w:i/>
          <w:iCs/>
          <w:kern w:val="0"/>
          <w:sz w:val="24"/>
          <w:szCs w:val="24"/>
          <w:lang w:eastAsia="en-GB"/>
          <w14:ligatures w14:val="none"/>
        </w:rPr>
        <w:t>The gender pay gap</w:t>
      </w:r>
      <w:r w:rsidRPr="002C5502">
        <w:rPr>
          <w:rFonts w:ascii="Times New Roman" w:eastAsia="Times New Roman" w:hAnsi="Times New Roman" w:cs="Times New Roman"/>
          <w:kern w:val="0"/>
          <w:sz w:val="24"/>
          <w:szCs w:val="24"/>
          <w:lang w:eastAsia="en-GB"/>
          <w14:ligatures w14:val="none"/>
        </w:rPr>
        <w:t>:</w:t>
      </w:r>
      <w:r w:rsidRPr="002C5502">
        <w:rPr>
          <w:rFonts w:ascii="Times New Roman" w:eastAsia="Times New Roman" w:hAnsi="Times New Roman" w:cs="Times New Roman"/>
          <w:kern w:val="0"/>
          <w:sz w:val="24"/>
          <w:szCs w:val="24"/>
          <w:lang w:eastAsia="en-GB"/>
          <w14:ligatures w14:val="none"/>
        </w:rPr>
        <w:br/>
      </w:r>
      <w:hyperlink r:id="rId6" w:tgtFrame="_new" w:history="1">
        <w:r w:rsidRPr="002C5502">
          <w:rPr>
            <w:rFonts w:ascii="Times New Roman" w:eastAsia="Times New Roman" w:hAnsi="Times New Roman" w:cs="Times New Roman"/>
            <w:color w:val="0000FF"/>
            <w:kern w:val="0"/>
            <w:sz w:val="24"/>
            <w:szCs w:val="24"/>
            <w:u w:val="single"/>
            <w:lang w:eastAsia="en-GB"/>
            <w14:ligatures w14:val="none"/>
          </w:rPr>
          <w:t>https://commonslibrary.parliament.uk/research-briefings/sn07068/</w:t>
        </w:r>
      </w:hyperlink>
    </w:p>
    <w:p w14:paraId="1DC49516"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Crucially, the gap widens with age — a signal of cumulative impact: caregiving, career breaks, reduced access to stretching roles, and slower progression. In project-based careers, where seniority is often linked to availability (travel, late-stage cutovers, weekend deployments, “war rooms”), these cumulative disadvantages can be amplified.</w:t>
      </w:r>
    </w:p>
    <w:p w14:paraId="199831C7"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Caregiving, SEND, and the “second shift” in mid-career</w:t>
      </w:r>
    </w:p>
    <w:p w14:paraId="7EBA6F63"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Women still carry </w:t>
      </w:r>
      <w:proofErr w:type="gramStart"/>
      <w:r w:rsidRPr="002C5502">
        <w:rPr>
          <w:rFonts w:ascii="Times New Roman" w:eastAsia="Times New Roman" w:hAnsi="Times New Roman" w:cs="Times New Roman"/>
          <w:kern w:val="0"/>
          <w:sz w:val="24"/>
          <w:szCs w:val="24"/>
          <w:lang w:eastAsia="en-GB"/>
          <w14:ligatures w14:val="none"/>
        </w:rPr>
        <w:t>the majority of</w:t>
      </w:r>
      <w:proofErr w:type="gramEnd"/>
      <w:r w:rsidRPr="002C5502">
        <w:rPr>
          <w:rFonts w:ascii="Times New Roman" w:eastAsia="Times New Roman" w:hAnsi="Times New Roman" w:cs="Times New Roman"/>
          <w:kern w:val="0"/>
          <w:sz w:val="24"/>
          <w:szCs w:val="24"/>
          <w:lang w:eastAsia="en-GB"/>
          <w14:ligatures w14:val="none"/>
        </w:rPr>
        <w:t xml:space="preserve"> unpaid caregiving. ONS time-use data (23 Sept–1 Oct 2023) shows women spent </w:t>
      </w:r>
      <w:r w:rsidRPr="002C5502">
        <w:rPr>
          <w:rFonts w:ascii="Times New Roman" w:eastAsia="Times New Roman" w:hAnsi="Times New Roman" w:cs="Times New Roman"/>
          <w:b/>
          <w:bCs/>
          <w:kern w:val="0"/>
          <w:sz w:val="24"/>
          <w:szCs w:val="24"/>
          <w:lang w:eastAsia="en-GB"/>
          <w14:ligatures w14:val="none"/>
        </w:rPr>
        <w:t>3 hours 37 minutes per day</w:t>
      </w:r>
      <w:r w:rsidRPr="002C5502">
        <w:rPr>
          <w:rFonts w:ascii="Times New Roman" w:eastAsia="Times New Roman" w:hAnsi="Times New Roman" w:cs="Times New Roman"/>
          <w:kern w:val="0"/>
          <w:sz w:val="24"/>
          <w:szCs w:val="24"/>
          <w:lang w:eastAsia="en-GB"/>
          <w14:ligatures w14:val="none"/>
        </w:rPr>
        <w:t xml:space="preserve"> on unpaid work (housework, caring, volunteering) — </w:t>
      </w:r>
      <w:r w:rsidRPr="002C5502">
        <w:rPr>
          <w:rFonts w:ascii="Times New Roman" w:eastAsia="Times New Roman" w:hAnsi="Times New Roman" w:cs="Times New Roman"/>
          <w:b/>
          <w:bCs/>
          <w:kern w:val="0"/>
          <w:sz w:val="24"/>
          <w:szCs w:val="24"/>
          <w:lang w:eastAsia="en-GB"/>
          <w14:ligatures w14:val="none"/>
        </w:rPr>
        <w:t>54 minutes more than men</w:t>
      </w:r>
      <w:r w:rsidRPr="002C5502">
        <w:rPr>
          <w:rFonts w:ascii="Times New Roman" w:eastAsia="Times New Roman" w:hAnsi="Times New Roman" w:cs="Times New Roman"/>
          <w:kern w:val="0"/>
          <w:sz w:val="24"/>
          <w:szCs w:val="24"/>
          <w:lang w:eastAsia="en-GB"/>
          <w14:ligatures w14:val="none"/>
        </w:rPr>
        <w:t>.</w:t>
      </w:r>
      <w:r w:rsidRPr="002C5502">
        <w:rPr>
          <w:rFonts w:ascii="Times New Roman" w:eastAsia="Times New Roman" w:hAnsi="Times New Roman" w:cs="Times New Roman"/>
          <w:kern w:val="0"/>
          <w:sz w:val="24"/>
          <w:szCs w:val="24"/>
          <w:lang w:eastAsia="en-GB"/>
          <w14:ligatures w14:val="none"/>
        </w:rPr>
        <w:br/>
        <w:t xml:space="preserve">ONS – </w:t>
      </w:r>
      <w:r w:rsidRPr="002C5502">
        <w:rPr>
          <w:rFonts w:ascii="Times New Roman" w:eastAsia="Times New Roman" w:hAnsi="Times New Roman" w:cs="Times New Roman"/>
          <w:i/>
          <w:iCs/>
          <w:kern w:val="0"/>
          <w:sz w:val="24"/>
          <w:szCs w:val="24"/>
          <w:lang w:eastAsia="en-GB"/>
          <w14:ligatures w14:val="none"/>
        </w:rPr>
        <w:t>Time use in the UK: 23 September to 1 October 2023</w:t>
      </w:r>
      <w:r w:rsidRPr="002C5502">
        <w:rPr>
          <w:rFonts w:ascii="Times New Roman" w:eastAsia="Times New Roman" w:hAnsi="Times New Roman" w:cs="Times New Roman"/>
          <w:kern w:val="0"/>
          <w:sz w:val="24"/>
          <w:szCs w:val="24"/>
          <w:lang w:eastAsia="en-GB"/>
          <w14:ligatures w14:val="none"/>
        </w:rPr>
        <w:t>:</w:t>
      </w:r>
      <w:r w:rsidRPr="002C5502">
        <w:rPr>
          <w:rFonts w:ascii="Times New Roman" w:eastAsia="Times New Roman" w:hAnsi="Times New Roman" w:cs="Times New Roman"/>
          <w:kern w:val="0"/>
          <w:sz w:val="24"/>
          <w:szCs w:val="24"/>
          <w:lang w:eastAsia="en-GB"/>
          <w14:ligatures w14:val="none"/>
        </w:rPr>
        <w:br/>
      </w:r>
      <w:hyperlink r:id="rId7" w:tgtFrame="_new" w:history="1">
        <w:r w:rsidRPr="002C5502">
          <w:rPr>
            <w:rFonts w:ascii="Times New Roman" w:eastAsia="Times New Roman" w:hAnsi="Times New Roman" w:cs="Times New Roman"/>
            <w:color w:val="0000FF"/>
            <w:kern w:val="0"/>
            <w:sz w:val="24"/>
            <w:szCs w:val="24"/>
            <w:u w:val="single"/>
            <w:lang w:eastAsia="en-GB"/>
            <w14:ligatures w14:val="none"/>
          </w:rPr>
          <w:t>https://www.ons.gov.uk/peoplepopulationandcommunity/personalandhouseholdfinances/incomeandwealth/bulletins/timeuseintheuk/23septemberto1october2023</w:t>
        </w:r>
      </w:hyperlink>
    </w:p>
    <w:p w14:paraId="51502FD6"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That “second shift” becomes especially acute for parents of children with Special Educational Needs and Disabilities (SEND), where care demands can be complex, unpredictable, and sustained: school calls, therapy appointments, health and care coordination, and crisis support. Many women are also part of the “sandwich generation” — caring for children while supporting ageing parents — a pressure that often peaks just as project professionals would typically be stepping into senior leadership roles.</w:t>
      </w:r>
    </w:p>
    <w:p w14:paraId="0C47FCC9"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From a delivery standpoint, this isn’t a “personal issue”. It’s a capability and continuity risk. If organisations lose experienced project </w:t>
      </w:r>
      <w:proofErr w:type="gramStart"/>
      <w:r w:rsidRPr="002C5502">
        <w:rPr>
          <w:rFonts w:ascii="Times New Roman" w:eastAsia="Times New Roman" w:hAnsi="Times New Roman" w:cs="Times New Roman"/>
          <w:kern w:val="0"/>
          <w:sz w:val="24"/>
          <w:szCs w:val="24"/>
          <w:lang w:eastAsia="en-GB"/>
          <w14:ligatures w14:val="none"/>
        </w:rPr>
        <w:t>leaders</w:t>
      </w:r>
      <w:proofErr w:type="gramEnd"/>
      <w:r w:rsidRPr="002C5502">
        <w:rPr>
          <w:rFonts w:ascii="Times New Roman" w:eastAsia="Times New Roman" w:hAnsi="Times New Roman" w:cs="Times New Roman"/>
          <w:kern w:val="0"/>
          <w:sz w:val="24"/>
          <w:szCs w:val="24"/>
          <w:lang w:eastAsia="en-GB"/>
          <w14:ligatures w14:val="none"/>
        </w:rPr>
        <w:t xml:space="preserve"> mid-career because systems assume uninterrupted availability, programmes become more fragile, more expensive, and more likely to miss benefits.</w:t>
      </w:r>
    </w:p>
    <w:p w14:paraId="40B96EE8"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Flexibility and the leadership ceiling: the market is still not built for carers</w:t>
      </w:r>
    </w:p>
    <w:p w14:paraId="24E0837D"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Many women step into roles below their capability — or hold back from applying for promotion — because leadership is widely assumed to mean less flexibility, longer hours, and an always-on culture. That assumption reflects the labour market.</w:t>
      </w:r>
    </w:p>
    <w:p w14:paraId="542117A5"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2C5502">
        <w:rPr>
          <w:rFonts w:ascii="Times New Roman" w:eastAsia="Times New Roman" w:hAnsi="Times New Roman" w:cs="Times New Roman"/>
          <w:kern w:val="0"/>
          <w:sz w:val="24"/>
          <w:szCs w:val="24"/>
          <w:lang w:eastAsia="en-GB"/>
          <w14:ligatures w14:val="none"/>
        </w:rPr>
        <w:t>Timewise’s</w:t>
      </w:r>
      <w:proofErr w:type="spellEnd"/>
      <w:r w:rsidRPr="002C5502">
        <w:rPr>
          <w:rFonts w:ascii="Times New Roman" w:eastAsia="Times New Roman" w:hAnsi="Times New Roman" w:cs="Times New Roman"/>
          <w:kern w:val="0"/>
          <w:sz w:val="24"/>
          <w:szCs w:val="24"/>
          <w:lang w:eastAsia="en-GB"/>
          <w14:ligatures w14:val="none"/>
        </w:rPr>
        <w:t xml:space="preserve"> Flexible Jobs Index found only </w:t>
      </w:r>
      <w:r w:rsidRPr="002C5502">
        <w:rPr>
          <w:rFonts w:ascii="Times New Roman" w:eastAsia="Times New Roman" w:hAnsi="Times New Roman" w:cs="Times New Roman"/>
          <w:b/>
          <w:bCs/>
          <w:kern w:val="0"/>
          <w:sz w:val="24"/>
          <w:szCs w:val="24"/>
          <w:lang w:eastAsia="en-GB"/>
          <w14:ligatures w14:val="none"/>
        </w:rPr>
        <w:t>31%</w:t>
      </w:r>
      <w:r w:rsidRPr="002C5502">
        <w:rPr>
          <w:rFonts w:ascii="Times New Roman" w:eastAsia="Times New Roman" w:hAnsi="Times New Roman" w:cs="Times New Roman"/>
          <w:kern w:val="0"/>
          <w:sz w:val="24"/>
          <w:szCs w:val="24"/>
          <w:lang w:eastAsia="en-GB"/>
          <w14:ligatures w14:val="none"/>
        </w:rPr>
        <w:t xml:space="preserve"> of job adverts offered flexible working at the point of hire (2023). Even more stark: for roles paying </w:t>
      </w:r>
      <w:r w:rsidRPr="002C5502">
        <w:rPr>
          <w:rFonts w:ascii="Times New Roman" w:eastAsia="Times New Roman" w:hAnsi="Times New Roman" w:cs="Times New Roman"/>
          <w:b/>
          <w:bCs/>
          <w:kern w:val="0"/>
          <w:sz w:val="24"/>
          <w:szCs w:val="24"/>
          <w:lang w:eastAsia="en-GB"/>
          <w14:ligatures w14:val="none"/>
        </w:rPr>
        <w:t>£60k+ (FTE)</w:t>
      </w:r>
      <w:r w:rsidRPr="002C5502">
        <w:rPr>
          <w:rFonts w:ascii="Times New Roman" w:eastAsia="Times New Roman" w:hAnsi="Times New Roman" w:cs="Times New Roman"/>
          <w:kern w:val="0"/>
          <w:sz w:val="24"/>
          <w:szCs w:val="24"/>
          <w:lang w:eastAsia="en-GB"/>
          <w14:ligatures w14:val="none"/>
        </w:rPr>
        <w:t xml:space="preserve">, only </w:t>
      </w:r>
      <w:r w:rsidRPr="002C5502">
        <w:rPr>
          <w:rFonts w:ascii="Times New Roman" w:eastAsia="Times New Roman" w:hAnsi="Times New Roman" w:cs="Times New Roman"/>
          <w:b/>
          <w:bCs/>
          <w:kern w:val="0"/>
          <w:sz w:val="24"/>
          <w:szCs w:val="24"/>
          <w:lang w:eastAsia="en-GB"/>
          <w14:ligatures w14:val="none"/>
        </w:rPr>
        <w:t>around 6%</w:t>
      </w:r>
      <w:r w:rsidRPr="002C5502">
        <w:rPr>
          <w:rFonts w:ascii="Times New Roman" w:eastAsia="Times New Roman" w:hAnsi="Times New Roman" w:cs="Times New Roman"/>
          <w:kern w:val="0"/>
          <w:sz w:val="24"/>
          <w:szCs w:val="24"/>
          <w:lang w:eastAsia="en-GB"/>
          <w14:ligatures w14:val="none"/>
        </w:rPr>
        <w:t xml:space="preserve"> were advertised as part-time (including job shares).</w:t>
      </w:r>
      <w:r w:rsidRPr="002C5502">
        <w:rPr>
          <w:rFonts w:ascii="Times New Roman" w:eastAsia="Times New Roman" w:hAnsi="Times New Roman" w:cs="Times New Roman"/>
          <w:kern w:val="0"/>
          <w:sz w:val="24"/>
          <w:szCs w:val="24"/>
          <w:lang w:eastAsia="en-GB"/>
          <w14:ligatures w14:val="none"/>
        </w:rPr>
        <w:br/>
        <w:t xml:space="preserve">Timewise – </w:t>
      </w:r>
      <w:r w:rsidRPr="002C5502">
        <w:rPr>
          <w:rFonts w:ascii="Times New Roman" w:eastAsia="Times New Roman" w:hAnsi="Times New Roman" w:cs="Times New Roman"/>
          <w:i/>
          <w:iCs/>
          <w:kern w:val="0"/>
          <w:sz w:val="24"/>
          <w:szCs w:val="24"/>
          <w:lang w:eastAsia="en-GB"/>
          <w14:ligatures w14:val="none"/>
        </w:rPr>
        <w:t>Flexible Jobs Index 2023</w:t>
      </w:r>
      <w:r w:rsidRPr="002C5502">
        <w:rPr>
          <w:rFonts w:ascii="Times New Roman" w:eastAsia="Times New Roman" w:hAnsi="Times New Roman" w:cs="Times New Roman"/>
          <w:kern w:val="0"/>
          <w:sz w:val="24"/>
          <w:szCs w:val="24"/>
          <w:lang w:eastAsia="en-GB"/>
          <w14:ligatures w14:val="none"/>
        </w:rPr>
        <w:t xml:space="preserve"> (PDF):</w:t>
      </w:r>
      <w:r w:rsidRPr="002C5502">
        <w:rPr>
          <w:rFonts w:ascii="Times New Roman" w:eastAsia="Times New Roman" w:hAnsi="Times New Roman" w:cs="Times New Roman"/>
          <w:kern w:val="0"/>
          <w:sz w:val="24"/>
          <w:szCs w:val="24"/>
          <w:lang w:eastAsia="en-GB"/>
          <w14:ligatures w14:val="none"/>
        </w:rPr>
        <w:br/>
      </w:r>
      <w:hyperlink r:id="rId8" w:tgtFrame="_new" w:history="1">
        <w:r w:rsidRPr="002C5502">
          <w:rPr>
            <w:rFonts w:ascii="Times New Roman" w:eastAsia="Times New Roman" w:hAnsi="Times New Roman" w:cs="Times New Roman"/>
            <w:color w:val="0000FF"/>
            <w:kern w:val="0"/>
            <w:sz w:val="24"/>
            <w:szCs w:val="24"/>
            <w:u w:val="single"/>
            <w:lang w:eastAsia="en-GB"/>
            <w14:ligatures w14:val="none"/>
          </w:rPr>
          <w:t>https://timewise.co.uk/wp-content/uploads/2023/11/Timewise-Flex-Jobs-Index-2023.pdf</w:t>
        </w:r>
      </w:hyperlink>
      <w:r w:rsidRPr="002C5502">
        <w:rPr>
          <w:rFonts w:ascii="Times New Roman" w:eastAsia="Times New Roman" w:hAnsi="Times New Roman" w:cs="Times New Roman"/>
          <w:kern w:val="0"/>
          <w:sz w:val="24"/>
          <w:szCs w:val="24"/>
          <w:lang w:eastAsia="en-GB"/>
          <w14:ligatures w14:val="none"/>
        </w:rPr>
        <w:br/>
        <w:t>Timewise summary page:</w:t>
      </w:r>
      <w:r w:rsidRPr="002C5502">
        <w:rPr>
          <w:rFonts w:ascii="Times New Roman" w:eastAsia="Times New Roman" w:hAnsi="Times New Roman" w:cs="Times New Roman"/>
          <w:kern w:val="0"/>
          <w:sz w:val="24"/>
          <w:szCs w:val="24"/>
          <w:lang w:eastAsia="en-GB"/>
          <w14:ligatures w14:val="none"/>
        </w:rPr>
        <w:br/>
      </w:r>
      <w:hyperlink r:id="rId9" w:tgtFrame="_new" w:history="1">
        <w:r w:rsidRPr="002C5502">
          <w:rPr>
            <w:rFonts w:ascii="Times New Roman" w:eastAsia="Times New Roman" w:hAnsi="Times New Roman" w:cs="Times New Roman"/>
            <w:color w:val="0000FF"/>
            <w:kern w:val="0"/>
            <w:sz w:val="24"/>
            <w:szCs w:val="24"/>
            <w:u w:val="single"/>
            <w:lang w:eastAsia="en-GB"/>
            <w14:ligatures w14:val="none"/>
          </w:rPr>
          <w:t>https://timewise.co.uk/article/flexible-jobs-index/</w:t>
        </w:r>
      </w:hyperlink>
    </w:p>
    <w:p w14:paraId="1494E87D"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For project delivery functions, this should be a red flag. If only a small fraction of senior roles </w:t>
      </w:r>
      <w:proofErr w:type="gramStart"/>
      <w:r w:rsidRPr="002C5502">
        <w:rPr>
          <w:rFonts w:ascii="Times New Roman" w:eastAsia="Times New Roman" w:hAnsi="Times New Roman" w:cs="Times New Roman"/>
          <w:kern w:val="0"/>
          <w:sz w:val="24"/>
          <w:szCs w:val="24"/>
          <w:lang w:eastAsia="en-GB"/>
          <w14:ligatures w14:val="none"/>
        </w:rPr>
        <w:t>are</w:t>
      </w:r>
      <w:proofErr w:type="gramEnd"/>
      <w:r w:rsidRPr="002C5502">
        <w:rPr>
          <w:rFonts w:ascii="Times New Roman" w:eastAsia="Times New Roman" w:hAnsi="Times New Roman" w:cs="Times New Roman"/>
          <w:kern w:val="0"/>
          <w:sz w:val="24"/>
          <w:szCs w:val="24"/>
          <w:lang w:eastAsia="en-GB"/>
          <w14:ligatures w14:val="none"/>
        </w:rPr>
        <w:t xml:space="preserve"> designed as flexible, you are structurally narrowing the leadership pipeline at exactly the stage when caring responsibilities often intensify.</w:t>
      </w:r>
    </w:p>
    <w:p w14:paraId="2FA7CB31"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There’s also the “readiness gap”: women are more likely to self-select out unless they feel fully qualified, while men are more likely to apply when they meet only some of the criteria — a dynamic widely discussed in management literature and frequently observed in internal hiring patterns. Combined with inflexible job design, it contributes to women’s under-representation in higher-paid delivery leadership roles.</w:t>
      </w:r>
    </w:p>
    <w:p w14:paraId="532AF117"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The backlash effect: why “speaking up” can be punished</w:t>
      </w:r>
    </w:p>
    <w:p w14:paraId="316FD47A"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Beyond job design, evaluation bias matters. Rudman &amp; Phelan’s foundational review on backlash explains how women who behave counter-stereotypically (e.g., agentic, assertive, self-promoting) can face social and economic penalties — including being judged less likeable and, in some contexts, less hireable — even when competence is recognised.</w:t>
      </w:r>
      <w:r w:rsidRPr="002C5502">
        <w:rPr>
          <w:rFonts w:ascii="Times New Roman" w:eastAsia="Times New Roman" w:hAnsi="Times New Roman" w:cs="Times New Roman"/>
          <w:kern w:val="0"/>
          <w:sz w:val="24"/>
          <w:szCs w:val="24"/>
          <w:lang w:eastAsia="en-GB"/>
          <w14:ligatures w14:val="none"/>
        </w:rPr>
        <w:br/>
        <w:t xml:space="preserve">Rudman, L. A., &amp; Phelan, J. E. (2008). </w:t>
      </w:r>
      <w:r w:rsidRPr="002C5502">
        <w:rPr>
          <w:rFonts w:ascii="Times New Roman" w:eastAsia="Times New Roman" w:hAnsi="Times New Roman" w:cs="Times New Roman"/>
          <w:i/>
          <w:iCs/>
          <w:kern w:val="0"/>
          <w:sz w:val="24"/>
          <w:szCs w:val="24"/>
          <w:lang w:eastAsia="en-GB"/>
          <w14:ligatures w14:val="none"/>
        </w:rPr>
        <w:t>Backlash effects for disconfirming gender stereotypes in organizations</w:t>
      </w:r>
      <w:r w:rsidRPr="002C5502">
        <w:rPr>
          <w:rFonts w:ascii="Times New Roman" w:eastAsia="Times New Roman" w:hAnsi="Times New Roman" w:cs="Times New Roman"/>
          <w:kern w:val="0"/>
          <w:sz w:val="24"/>
          <w:szCs w:val="24"/>
          <w:lang w:eastAsia="en-GB"/>
          <w14:ligatures w14:val="none"/>
        </w:rPr>
        <w:t xml:space="preserve">. </w:t>
      </w:r>
      <w:r w:rsidRPr="002C5502">
        <w:rPr>
          <w:rFonts w:ascii="Times New Roman" w:eastAsia="Times New Roman" w:hAnsi="Times New Roman" w:cs="Times New Roman"/>
          <w:i/>
          <w:iCs/>
          <w:kern w:val="0"/>
          <w:sz w:val="24"/>
          <w:szCs w:val="24"/>
          <w:lang w:eastAsia="en-GB"/>
          <w14:ligatures w14:val="none"/>
        </w:rPr>
        <w:t xml:space="preserve">Research in Organizational </w:t>
      </w:r>
      <w:proofErr w:type="spellStart"/>
      <w:r w:rsidRPr="002C5502">
        <w:rPr>
          <w:rFonts w:ascii="Times New Roman" w:eastAsia="Times New Roman" w:hAnsi="Times New Roman" w:cs="Times New Roman"/>
          <w:i/>
          <w:iCs/>
          <w:kern w:val="0"/>
          <w:sz w:val="24"/>
          <w:szCs w:val="24"/>
          <w:lang w:eastAsia="en-GB"/>
          <w14:ligatures w14:val="none"/>
        </w:rPr>
        <w:t>Behavior</w:t>
      </w:r>
      <w:proofErr w:type="spellEnd"/>
      <w:r w:rsidRPr="002C5502">
        <w:rPr>
          <w:rFonts w:ascii="Times New Roman" w:eastAsia="Times New Roman" w:hAnsi="Times New Roman" w:cs="Times New Roman"/>
          <w:i/>
          <w:iCs/>
          <w:kern w:val="0"/>
          <w:sz w:val="24"/>
          <w:szCs w:val="24"/>
          <w:lang w:eastAsia="en-GB"/>
          <w14:ligatures w14:val="none"/>
        </w:rPr>
        <w:t>, 28</w:t>
      </w:r>
      <w:r w:rsidRPr="002C5502">
        <w:rPr>
          <w:rFonts w:ascii="Times New Roman" w:eastAsia="Times New Roman" w:hAnsi="Times New Roman" w:cs="Times New Roman"/>
          <w:kern w:val="0"/>
          <w:sz w:val="24"/>
          <w:szCs w:val="24"/>
          <w:lang w:eastAsia="en-GB"/>
          <w14:ligatures w14:val="none"/>
        </w:rPr>
        <w:t>, 61–79. https://doi.org/10.1016/j.riob.2008.04.003</w:t>
      </w:r>
      <w:r w:rsidRPr="002C5502">
        <w:rPr>
          <w:rFonts w:ascii="Times New Roman" w:eastAsia="Times New Roman" w:hAnsi="Times New Roman" w:cs="Times New Roman"/>
          <w:kern w:val="0"/>
          <w:sz w:val="24"/>
          <w:szCs w:val="24"/>
          <w:lang w:eastAsia="en-GB"/>
          <w14:ligatures w14:val="none"/>
        </w:rPr>
        <w:br/>
        <w:t>(Open PDF copy):</w:t>
      </w:r>
      <w:r w:rsidRPr="002C5502">
        <w:rPr>
          <w:rFonts w:ascii="Times New Roman" w:eastAsia="Times New Roman" w:hAnsi="Times New Roman" w:cs="Times New Roman"/>
          <w:kern w:val="0"/>
          <w:sz w:val="24"/>
          <w:szCs w:val="24"/>
          <w:lang w:eastAsia="en-GB"/>
          <w14:ligatures w14:val="none"/>
        </w:rPr>
        <w:br/>
      </w:r>
      <w:hyperlink r:id="rId10" w:tgtFrame="_new" w:history="1">
        <w:r w:rsidRPr="002C5502">
          <w:rPr>
            <w:rFonts w:ascii="Times New Roman" w:eastAsia="Times New Roman" w:hAnsi="Times New Roman" w:cs="Times New Roman"/>
            <w:color w:val="0000FF"/>
            <w:kern w:val="0"/>
            <w:sz w:val="24"/>
            <w:szCs w:val="24"/>
            <w:u w:val="single"/>
            <w:lang w:eastAsia="en-GB"/>
            <w14:ligatures w14:val="none"/>
          </w:rPr>
          <w:t>https://rutgerssocialcognitionlab.weebly.com/uploads/1/3/9/7/13979590/rudman__phelan_2008._backlash_effects_for_disconfirming_gender_stereotypes_in_organizations.pdf</w:t>
        </w:r>
      </w:hyperlink>
    </w:p>
    <w:p w14:paraId="2A370CFC"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In projects, where governance relies on challenge and escalation, backlash doesn’t just harm individuals. It distorts decision-making. Teams become less likely to surface emerging risks, less likely to challenge optimistic schedules, and more likely to default to “quiet compliance” — which is how projects drift into failure.</w:t>
      </w:r>
    </w:p>
    <w:p w14:paraId="1CF9F006"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What this means for APM members: redesign delivery, don’t demand endurance</w:t>
      </w:r>
    </w:p>
    <w:p w14:paraId="3B79CCCE"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 xml:space="preserve">The takeaway for project-based organisations is straightforward: women — especially carers and SEND parents — do not have less to offer delivery environments. They often have </w:t>
      </w:r>
      <w:r w:rsidRPr="002C5502">
        <w:rPr>
          <w:rFonts w:ascii="Times New Roman" w:eastAsia="Times New Roman" w:hAnsi="Times New Roman" w:cs="Times New Roman"/>
          <w:i/>
          <w:iCs/>
          <w:kern w:val="0"/>
          <w:sz w:val="24"/>
          <w:szCs w:val="24"/>
          <w:lang w:eastAsia="en-GB"/>
          <w14:ligatures w14:val="none"/>
        </w:rPr>
        <w:t>more</w:t>
      </w:r>
      <w:r w:rsidRPr="002C5502">
        <w:rPr>
          <w:rFonts w:ascii="Times New Roman" w:eastAsia="Times New Roman" w:hAnsi="Times New Roman" w:cs="Times New Roman"/>
          <w:kern w:val="0"/>
          <w:sz w:val="24"/>
          <w:szCs w:val="24"/>
          <w:lang w:eastAsia="en-GB"/>
          <w14:ligatures w14:val="none"/>
        </w:rPr>
        <w:t>: resilience, prioritisation, emotional intelligence, stakeholder management, crisis response, and systems thinking. What they lack is not confidence, but permission — and infrastructure.</w:t>
      </w:r>
    </w:p>
    <w:p w14:paraId="4AB2BE45"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Practical actions for project organisations and PMOs:</w:t>
      </w:r>
    </w:p>
    <w:p w14:paraId="463A4930" w14:textId="77777777" w:rsidR="002C5502" w:rsidRPr="002C5502" w:rsidRDefault="002C5502" w:rsidP="002C55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Move from presence to outcomes</w:t>
      </w:r>
      <w:r w:rsidRPr="002C5502">
        <w:rPr>
          <w:rFonts w:ascii="Times New Roman" w:eastAsia="Times New Roman" w:hAnsi="Times New Roman" w:cs="Times New Roman"/>
          <w:kern w:val="0"/>
          <w:sz w:val="24"/>
          <w:szCs w:val="24"/>
          <w:lang w:eastAsia="en-GB"/>
          <w14:ligatures w14:val="none"/>
        </w:rPr>
        <w:br/>
        <w:t>Define performance using deliverables, benefits, risk management quality, and stakeholder outcomes — not hours seen online or time spent in meetings.</w:t>
      </w:r>
    </w:p>
    <w:p w14:paraId="45169466" w14:textId="77777777" w:rsidR="002C5502" w:rsidRPr="002C5502" w:rsidRDefault="002C5502" w:rsidP="002C55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Design flexibility into governance</w:t>
      </w:r>
      <w:r w:rsidRPr="002C5502">
        <w:rPr>
          <w:rFonts w:ascii="Times New Roman" w:eastAsia="Times New Roman" w:hAnsi="Times New Roman" w:cs="Times New Roman"/>
          <w:kern w:val="0"/>
          <w:sz w:val="24"/>
          <w:szCs w:val="24"/>
          <w:lang w:eastAsia="en-GB"/>
          <w14:ligatures w14:val="none"/>
        </w:rPr>
        <w:br/>
        <w:t>Make steering meetings and governance rhythms compatible with caring realities (predictable scheduling, recorded briefings, asynchronous decision packs, clear escalation routes).</w:t>
      </w:r>
    </w:p>
    <w:p w14:paraId="0E47DE5B" w14:textId="77777777" w:rsidR="002C5502" w:rsidRPr="002C5502" w:rsidRDefault="002C5502" w:rsidP="002C55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Build job-share and part-time leadership pathways</w:t>
      </w:r>
      <w:r w:rsidRPr="002C5502">
        <w:rPr>
          <w:rFonts w:ascii="Times New Roman" w:eastAsia="Times New Roman" w:hAnsi="Times New Roman" w:cs="Times New Roman"/>
          <w:kern w:val="0"/>
          <w:sz w:val="24"/>
          <w:szCs w:val="24"/>
          <w:lang w:eastAsia="en-GB"/>
          <w14:ligatures w14:val="none"/>
        </w:rPr>
        <w:br/>
        <w:t>Treat job-share PMs/SRO support as a capability strategy, not an exception. Use handover protocols like you would in major incident management.</w:t>
      </w:r>
    </w:p>
    <w:p w14:paraId="7629FF9A" w14:textId="77777777" w:rsidR="002C5502" w:rsidRPr="002C5502" w:rsidRDefault="002C5502" w:rsidP="002C55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Plan resourcing like risk management</w:t>
      </w:r>
      <w:r w:rsidRPr="002C5502">
        <w:rPr>
          <w:rFonts w:ascii="Times New Roman" w:eastAsia="Times New Roman" w:hAnsi="Times New Roman" w:cs="Times New Roman"/>
          <w:kern w:val="0"/>
          <w:sz w:val="24"/>
          <w:szCs w:val="24"/>
          <w:lang w:eastAsia="en-GB"/>
          <w14:ligatures w14:val="none"/>
        </w:rPr>
        <w:br/>
        <w:t>Caring responsibilities are predictable at a population level. Treat flexibility, cover arrangements, and carers’ leave as planned resilience, not ad hoc disruption.</w:t>
      </w:r>
    </w:p>
    <w:p w14:paraId="443FC024" w14:textId="77777777" w:rsidR="002C5502" w:rsidRPr="002C5502" w:rsidRDefault="002C5502" w:rsidP="002C55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Train leaders in bias-aware decision making</w:t>
      </w:r>
      <w:r w:rsidRPr="002C5502">
        <w:rPr>
          <w:rFonts w:ascii="Times New Roman" w:eastAsia="Times New Roman" w:hAnsi="Times New Roman" w:cs="Times New Roman"/>
          <w:kern w:val="0"/>
          <w:sz w:val="24"/>
          <w:szCs w:val="24"/>
          <w:lang w:eastAsia="en-GB"/>
          <w14:ligatures w14:val="none"/>
        </w:rPr>
        <w:br/>
        <w:t>Include backlash dynamics in leadership development so that “direct” is not coded as “difficult” when it comes from women.</w:t>
      </w:r>
    </w:p>
    <w:p w14:paraId="5CBAEF08" w14:textId="77777777" w:rsidR="002C5502" w:rsidRPr="002C5502" w:rsidRDefault="002C5502" w:rsidP="002C550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b/>
          <w:bCs/>
          <w:kern w:val="0"/>
          <w:sz w:val="24"/>
          <w:szCs w:val="24"/>
          <w:lang w:eastAsia="en-GB"/>
          <w14:ligatures w14:val="none"/>
        </w:rPr>
        <w:t>Normalise carers’ leave and SEND-aware support</w:t>
      </w:r>
      <w:r w:rsidRPr="002C5502">
        <w:rPr>
          <w:rFonts w:ascii="Times New Roman" w:eastAsia="Times New Roman" w:hAnsi="Times New Roman" w:cs="Times New Roman"/>
          <w:kern w:val="0"/>
          <w:sz w:val="24"/>
          <w:szCs w:val="24"/>
          <w:lang w:eastAsia="en-GB"/>
          <w14:ligatures w14:val="none"/>
        </w:rPr>
        <w:br/>
        <w:t>If organisations want sustainable capability, they must treat caregiving as a reality of the workforce and design policies accordingly.</w:t>
      </w:r>
    </w:p>
    <w:p w14:paraId="0A70EA77" w14:textId="77777777" w:rsidR="002C5502" w:rsidRPr="002C5502" w:rsidRDefault="002C5502" w:rsidP="002C55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2C5502">
        <w:rPr>
          <w:rFonts w:ascii="Times New Roman" w:eastAsia="Times New Roman" w:hAnsi="Times New Roman" w:cs="Times New Roman"/>
          <w:b/>
          <w:bCs/>
          <w:kern w:val="0"/>
          <w:sz w:val="27"/>
          <w:szCs w:val="27"/>
          <w:lang w:eastAsia="en-GB"/>
          <w14:ligatures w14:val="none"/>
        </w:rPr>
        <w:t>The “Sorry Tax” isn’t a personal quirk — it’s a delivery risk</w:t>
      </w:r>
    </w:p>
    <w:p w14:paraId="28DF8191"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When women apologise before they speak, it’s often not insecurity; it’s risk management in environments where penalties are unevenly applied. In project delivery, the cost is organisational: weaker challenge, poorer risk visibility, and lost leadership capability.</w:t>
      </w:r>
    </w:p>
    <w:p w14:paraId="217A6335"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Project management is fundamentally about designing systems that deliver outcomes under constraints. If the system requires women — especially carers and SEND parents — to endure more just to participate, then the system is not mature.</w:t>
      </w:r>
    </w:p>
    <w:p w14:paraId="6F3C9F53"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The next leap in professional practice isn’t asking women to cope better.</w:t>
      </w:r>
    </w:p>
    <w:p w14:paraId="03B92067" w14:textId="77777777" w:rsidR="002C5502" w:rsidRPr="002C5502" w:rsidRDefault="002C5502" w:rsidP="002C550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C5502">
        <w:rPr>
          <w:rFonts w:ascii="Times New Roman" w:eastAsia="Times New Roman" w:hAnsi="Times New Roman" w:cs="Times New Roman"/>
          <w:kern w:val="0"/>
          <w:sz w:val="24"/>
          <w:szCs w:val="24"/>
          <w:lang w:eastAsia="en-GB"/>
          <w14:ligatures w14:val="none"/>
        </w:rPr>
        <w:t>It’s redesigning project organisations so that the best people can lead — without having to apologise for taking up space.</w:t>
      </w:r>
    </w:p>
    <w:p w14:paraId="42EC948C" w14:textId="77777777" w:rsidR="003A35CC" w:rsidRDefault="003A35CC"/>
    <w:sectPr w:rsidR="003A3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C62B1"/>
    <w:multiLevelType w:val="multilevel"/>
    <w:tmpl w:val="DEF6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35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02"/>
    <w:rsid w:val="002C5502"/>
    <w:rsid w:val="003A35CC"/>
    <w:rsid w:val="007926EF"/>
    <w:rsid w:val="00D36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6DDD"/>
  <w15:chartTrackingRefBased/>
  <w15:docId w15:val="{3DBE33BE-9C51-466E-B984-E05B7BB1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5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502"/>
    <w:rPr>
      <w:rFonts w:eastAsiaTheme="majorEastAsia" w:cstheme="majorBidi"/>
      <w:color w:val="272727" w:themeColor="text1" w:themeTint="D8"/>
    </w:rPr>
  </w:style>
  <w:style w:type="paragraph" w:styleId="Title">
    <w:name w:val="Title"/>
    <w:basedOn w:val="Normal"/>
    <w:next w:val="Normal"/>
    <w:link w:val="TitleChar"/>
    <w:uiPriority w:val="10"/>
    <w:qFormat/>
    <w:rsid w:val="002C5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502"/>
    <w:pPr>
      <w:spacing w:before="160"/>
      <w:jc w:val="center"/>
    </w:pPr>
    <w:rPr>
      <w:i/>
      <w:iCs/>
      <w:color w:val="404040" w:themeColor="text1" w:themeTint="BF"/>
    </w:rPr>
  </w:style>
  <w:style w:type="character" w:customStyle="1" w:styleId="QuoteChar">
    <w:name w:val="Quote Char"/>
    <w:basedOn w:val="DefaultParagraphFont"/>
    <w:link w:val="Quote"/>
    <w:uiPriority w:val="29"/>
    <w:rsid w:val="002C5502"/>
    <w:rPr>
      <w:i/>
      <w:iCs/>
      <w:color w:val="404040" w:themeColor="text1" w:themeTint="BF"/>
    </w:rPr>
  </w:style>
  <w:style w:type="paragraph" w:styleId="ListParagraph">
    <w:name w:val="List Paragraph"/>
    <w:basedOn w:val="Normal"/>
    <w:uiPriority w:val="34"/>
    <w:qFormat/>
    <w:rsid w:val="002C5502"/>
    <w:pPr>
      <w:ind w:left="720"/>
      <w:contextualSpacing/>
    </w:pPr>
  </w:style>
  <w:style w:type="character" w:styleId="IntenseEmphasis">
    <w:name w:val="Intense Emphasis"/>
    <w:basedOn w:val="DefaultParagraphFont"/>
    <w:uiPriority w:val="21"/>
    <w:qFormat/>
    <w:rsid w:val="002C5502"/>
    <w:rPr>
      <w:i/>
      <w:iCs/>
      <w:color w:val="2F5496" w:themeColor="accent1" w:themeShade="BF"/>
    </w:rPr>
  </w:style>
  <w:style w:type="paragraph" w:styleId="IntenseQuote">
    <w:name w:val="Intense Quote"/>
    <w:basedOn w:val="Normal"/>
    <w:next w:val="Normal"/>
    <w:link w:val="IntenseQuoteChar"/>
    <w:uiPriority w:val="30"/>
    <w:qFormat/>
    <w:rsid w:val="002C5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502"/>
    <w:rPr>
      <w:i/>
      <w:iCs/>
      <w:color w:val="2F5496" w:themeColor="accent1" w:themeShade="BF"/>
    </w:rPr>
  </w:style>
  <w:style w:type="character" w:styleId="IntenseReference">
    <w:name w:val="Intense Reference"/>
    <w:basedOn w:val="DefaultParagraphFont"/>
    <w:uiPriority w:val="32"/>
    <w:qFormat/>
    <w:rsid w:val="002C5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wise.co.uk/wp-content/uploads/2023/11/Timewise-Flex-Jobs-Index-2023.pdf?utm_source=chatgpt.com" TargetMode="External"/><Relationship Id="rId3" Type="http://schemas.openxmlformats.org/officeDocument/2006/relationships/settings" Target="settings.xml"/><Relationship Id="rId7" Type="http://schemas.openxmlformats.org/officeDocument/2006/relationships/hyperlink" Target="https://www.ons.gov.uk/peoplepopulationandcommunity/personalandhouseholdfinances/incomeandwealth/bulletins/timeuseintheuk/23septemberto1october2023?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library.parliament.uk/research-briefings/sn07068/?utm_source=chatgpt.com" TargetMode="External"/><Relationship Id="rId11" Type="http://schemas.openxmlformats.org/officeDocument/2006/relationships/fontTable" Target="fontTable.xml"/><Relationship Id="rId5" Type="http://schemas.openxmlformats.org/officeDocument/2006/relationships/hyperlink" Target="https://www.ons.gov.uk/employmentandlabourmarket/peopleinwork/earningsandworkinghours/bulletins/genderpaygapintheuk/2025?utm_source=chatgpt.com" TargetMode="External"/><Relationship Id="rId10" Type="http://schemas.openxmlformats.org/officeDocument/2006/relationships/hyperlink" Target="https://rutgerssocialcognitionlab.weebly.com/uploads/1/3/9/7/13979590/rudman__phelan_2008._backlash_effects_for_disconfirming_gender_stereotypes_in_organizations.pdf?utm_source=chatgpt.com" TargetMode="External"/><Relationship Id="rId4" Type="http://schemas.openxmlformats.org/officeDocument/2006/relationships/webSettings" Target="webSettings.xml"/><Relationship Id="rId9" Type="http://schemas.openxmlformats.org/officeDocument/2006/relationships/hyperlink" Target="https://timewise.co.uk/article/flexible-jobs-index/?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1431</Words>
  <Characters>8162</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The “Sorry Tax” in Project Delivery</vt:lpstr>
      <vt:lpstr>        Why women — especially carers and SEND parents — are still being held back, and </vt:lpstr>
      <vt:lpstr>        The evidence: the gender pay gap persists (and widens with age)</vt:lpstr>
      <vt:lpstr>        Caregiving, SEND, and the “second shift” in mid-career</vt:lpstr>
      <vt:lpstr>        Flexibility and the leadership ceiling: the market is still not built for carers</vt:lpstr>
      <vt:lpstr>        The backlash effect: why “speaking up” can be punished</vt:lpstr>
      <vt:lpstr>        What this means for APM members: redesign delivery, don’t demand endurance</vt:lpstr>
      <vt:lpstr>        The “Sorry Tax” isn’t a personal quirk — it’s a delivery risk</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owen</dc:creator>
  <cp:keywords/>
  <dc:description/>
  <cp:lastModifiedBy>sarah owen</cp:lastModifiedBy>
  <cp:revision>1</cp:revision>
  <dcterms:created xsi:type="dcterms:W3CDTF">2026-01-21T20:42:00Z</dcterms:created>
  <dcterms:modified xsi:type="dcterms:W3CDTF">2026-01-26T05:54:00Z</dcterms:modified>
</cp:coreProperties>
</file>